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5F4E7CCB">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6" tooltip="&quot;Home&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344D3621" w:rsidR="009477EC" w:rsidRDefault="00967D15">
            <w:r>
              <w:t>Dutch Settlement Elementary School</w:t>
            </w:r>
          </w:p>
          <w:p w14:paraId="63F02B39" w14:textId="77777777" w:rsidR="009477EC" w:rsidRDefault="009477EC"/>
        </w:tc>
      </w:tr>
    </w:tbl>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02F0C310" w:rsidR="003828E0" w:rsidRPr="003828E0" w:rsidRDefault="00287EE2" w:rsidP="003828E0">
            <w:pPr>
              <w:jc w:val="both"/>
              <w:rPr>
                <w:sz w:val="24"/>
                <w:szCs w:val="24"/>
              </w:rPr>
            </w:pPr>
            <w:r>
              <w:rPr>
                <w:sz w:val="24"/>
                <w:szCs w:val="24"/>
              </w:rPr>
              <w:t>SAC Chair:</w:t>
            </w:r>
            <w:r w:rsidR="00967D15">
              <w:rPr>
                <w:sz w:val="24"/>
                <w:szCs w:val="24"/>
              </w:rPr>
              <w:t xml:space="preserve"> Laura King</w:t>
            </w:r>
          </w:p>
        </w:tc>
      </w:tr>
      <w:tr w:rsidR="00287EE2" w:rsidRPr="003828E0" w14:paraId="0BBFE10D" w14:textId="77777777" w:rsidTr="00D841A8">
        <w:tc>
          <w:tcPr>
            <w:tcW w:w="2337" w:type="dxa"/>
          </w:tcPr>
          <w:p w14:paraId="0A853DAB" w14:textId="2E4F8124" w:rsidR="00287EE2" w:rsidRDefault="00287EE2" w:rsidP="00287EE2">
            <w:pPr>
              <w:rPr>
                <w:sz w:val="24"/>
                <w:szCs w:val="24"/>
              </w:rPr>
            </w:pPr>
            <w:r>
              <w:rPr>
                <w:sz w:val="24"/>
                <w:szCs w:val="24"/>
              </w:rPr>
              <w:t>SAC Parent members:</w:t>
            </w:r>
          </w:p>
          <w:p w14:paraId="4F3DE644" w14:textId="77777777" w:rsidR="00287EE2" w:rsidRDefault="00287EE2" w:rsidP="00287EE2">
            <w:pPr>
              <w:rPr>
                <w:sz w:val="24"/>
                <w:szCs w:val="24"/>
              </w:rPr>
            </w:pPr>
          </w:p>
          <w:p w14:paraId="39B193E7" w14:textId="0FE3D559" w:rsidR="00967D15" w:rsidRDefault="00967D15" w:rsidP="00287EE2">
            <w:pPr>
              <w:rPr>
                <w:sz w:val="24"/>
                <w:szCs w:val="24"/>
              </w:rPr>
            </w:pPr>
            <w:r>
              <w:rPr>
                <w:sz w:val="24"/>
                <w:szCs w:val="24"/>
              </w:rPr>
              <w:t>Laura King</w:t>
            </w:r>
          </w:p>
          <w:p w14:paraId="6B92E7ED" w14:textId="55A86807" w:rsidR="00967D15" w:rsidRDefault="00967D15" w:rsidP="00287EE2">
            <w:pPr>
              <w:rPr>
                <w:sz w:val="24"/>
                <w:szCs w:val="24"/>
              </w:rPr>
            </w:pPr>
            <w:r>
              <w:rPr>
                <w:sz w:val="24"/>
                <w:szCs w:val="24"/>
              </w:rPr>
              <w:t>Katie Scott</w:t>
            </w:r>
          </w:p>
          <w:p w14:paraId="58BB36F8" w14:textId="77777777" w:rsidR="00287EE2" w:rsidRDefault="00287EE2" w:rsidP="00287EE2">
            <w:pPr>
              <w:rPr>
                <w:sz w:val="24"/>
                <w:szCs w:val="24"/>
              </w:rPr>
            </w:pPr>
          </w:p>
          <w:p w14:paraId="0BA8B66F" w14:textId="48807828" w:rsidR="00287EE2" w:rsidRDefault="00287EE2" w:rsidP="00287EE2">
            <w:pPr>
              <w:rPr>
                <w:sz w:val="24"/>
                <w:szCs w:val="24"/>
              </w:rPr>
            </w:pPr>
          </w:p>
        </w:tc>
        <w:tc>
          <w:tcPr>
            <w:tcW w:w="2338" w:type="dxa"/>
          </w:tcPr>
          <w:p w14:paraId="30FF6CBA" w14:textId="77777777" w:rsidR="00287EE2" w:rsidRDefault="00287EE2" w:rsidP="00287EE2">
            <w:pPr>
              <w:rPr>
                <w:sz w:val="24"/>
                <w:szCs w:val="24"/>
              </w:rPr>
            </w:pPr>
            <w:r>
              <w:rPr>
                <w:sz w:val="24"/>
                <w:szCs w:val="24"/>
              </w:rPr>
              <w:t>SAC Community Members:</w:t>
            </w:r>
          </w:p>
          <w:p w14:paraId="219D463A" w14:textId="77777777" w:rsidR="00967D15" w:rsidRDefault="00967D15" w:rsidP="00287EE2">
            <w:pPr>
              <w:rPr>
                <w:sz w:val="24"/>
                <w:szCs w:val="24"/>
              </w:rPr>
            </w:pPr>
          </w:p>
          <w:p w14:paraId="74F3E649" w14:textId="77777777" w:rsidR="00967D15" w:rsidRDefault="00967D15" w:rsidP="00287EE2">
            <w:pPr>
              <w:rPr>
                <w:sz w:val="24"/>
                <w:szCs w:val="24"/>
              </w:rPr>
            </w:pPr>
            <w:r>
              <w:rPr>
                <w:sz w:val="24"/>
                <w:szCs w:val="24"/>
              </w:rPr>
              <w:t>Wally Ashley</w:t>
            </w:r>
          </w:p>
          <w:p w14:paraId="01FAC01C" w14:textId="171D765B" w:rsidR="00967D15" w:rsidRDefault="00967D15" w:rsidP="00287EE2">
            <w:pPr>
              <w:rPr>
                <w:sz w:val="24"/>
                <w:szCs w:val="24"/>
              </w:rPr>
            </w:pPr>
            <w:r>
              <w:rPr>
                <w:sz w:val="24"/>
                <w:szCs w:val="24"/>
              </w:rPr>
              <w:t>Leanne Hope</w:t>
            </w:r>
          </w:p>
        </w:tc>
        <w:tc>
          <w:tcPr>
            <w:tcW w:w="2337" w:type="dxa"/>
          </w:tcPr>
          <w:p w14:paraId="425EA5A4" w14:textId="77777777" w:rsidR="00287EE2" w:rsidRDefault="00287EE2" w:rsidP="00287EE2">
            <w:pPr>
              <w:rPr>
                <w:sz w:val="24"/>
                <w:szCs w:val="24"/>
              </w:rPr>
            </w:pPr>
            <w:r>
              <w:rPr>
                <w:sz w:val="24"/>
                <w:szCs w:val="24"/>
              </w:rPr>
              <w:t xml:space="preserve">SAC Staff </w:t>
            </w:r>
          </w:p>
          <w:p w14:paraId="4FE97895" w14:textId="77777777" w:rsidR="00287EE2" w:rsidRDefault="00287EE2" w:rsidP="00287EE2">
            <w:pPr>
              <w:rPr>
                <w:sz w:val="24"/>
                <w:szCs w:val="24"/>
              </w:rPr>
            </w:pPr>
            <w:r>
              <w:rPr>
                <w:sz w:val="24"/>
                <w:szCs w:val="24"/>
              </w:rPr>
              <w:t>Members:</w:t>
            </w:r>
          </w:p>
          <w:p w14:paraId="55B39410" w14:textId="77777777" w:rsidR="00967D15" w:rsidRDefault="00967D15" w:rsidP="00287EE2">
            <w:pPr>
              <w:rPr>
                <w:sz w:val="24"/>
                <w:szCs w:val="24"/>
              </w:rPr>
            </w:pPr>
          </w:p>
          <w:p w14:paraId="148CED73" w14:textId="77777777" w:rsidR="00967D15" w:rsidRDefault="00967D15" w:rsidP="00287EE2">
            <w:pPr>
              <w:rPr>
                <w:sz w:val="24"/>
                <w:szCs w:val="24"/>
              </w:rPr>
            </w:pPr>
            <w:r>
              <w:rPr>
                <w:sz w:val="24"/>
                <w:szCs w:val="24"/>
              </w:rPr>
              <w:t>Chrystal Strong</w:t>
            </w:r>
          </w:p>
          <w:p w14:paraId="6DEC79EC" w14:textId="77777777" w:rsidR="00967D15" w:rsidRDefault="00967D15" w:rsidP="00287EE2">
            <w:pPr>
              <w:rPr>
                <w:sz w:val="24"/>
                <w:szCs w:val="24"/>
              </w:rPr>
            </w:pPr>
            <w:r>
              <w:rPr>
                <w:sz w:val="24"/>
                <w:szCs w:val="24"/>
              </w:rPr>
              <w:t>Erin Shea</w:t>
            </w:r>
          </w:p>
          <w:p w14:paraId="0CC879F1" w14:textId="21A4DCC7" w:rsidR="00967D15" w:rsidRDefault="00967D15" w:rsidP="00287EE2">
            <w:pPr>
              <w:rPr>
                <w:sz w:val="24"/>
                <w:szCs w:val="24"/>
              </w:rPr>
            </w:pPr>
            <w:r>
              <w:rPr>
                <w:sz w:val="24"/>
                <w:szCs w:val="24"/>
              </w:rPr>
              <w:t>Barb Juliusson</w:t>
            </w:r>
          </w:p>
        </w:tc>
        <w:tc>
          <w:tcPr>
            <w:tcW w:w="2338" w:type="dxa"/>
          </w:tcPr>
          <w:p w14:paraId="12D4E0C7" w14:textId="08CACC54" w:rsidR="00287EE2" w:rsidRPr="003828E0" w:rsidRDefault="00287EE2" w:rsidP="00287EE2">
            <w:pPr>
              <w:rPr>
                <w:sz w:val="24"/>
                <w:szCs w:val="24"/>
              </w:rPr>
            </w:pPr>
            <w:r>
              <w:rPr>
                <w:sz w:val="24"/>
                <w:szCs w:val="24"/>
              </w:rPr>
              <w:t>SAC Students Members:</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5EFC2748" w14:textId="77777777" w:rsidR="003828E0" w:rsidRDefault="003828E0" w:rsidP="003828E0">
            <w:pPr>
              <w:jc w:val="both"/>
              <w:rPr>
                <w:sz w:val="24"/>
                <w:szCs w:val="24"/>
              </w:rPr>
            </w:pPr>
          </w:p>
          <w:p w14:paraId="7B6B2738" w14:textId="77777777" w:rsidR="00967D15" w:rsidRDefault="00967D15" w:rsidP="00967D15">
            <w:pPr>
              <w:jc w:val="both"/>
              <w:rPr>
                <w:sz w:val="24"/>
                <w:szCs w:val="24"/>
                <w:lang w:val="en-US"/>
              </w:rPr>
            </w:pPr>
            <w:r w:rsidRPr="00967D15">
              <w:rPr>
                <w:sz w:val="24"/>
                <w:szCs w:val="24"/>
                <w:lang w:val="en-US"/>
              </w:rPr>
              <w:t>This year, the School Advisory Council (SAC) continued to focus heavily on student well-being, recognizing it as an essential foundation for academic achievement. To support this, the SAC actively pursued initiatives centered on outdoor learning, social-emotional development, and curriculum resources, while remaining mindful of the financial needs of our school community. Each year, we explore ways to improve outdoor learning within our financial and operational constraints. After dedicating a great deal of time to reviewing quotes to cover the existing outdoor classroom, we determined it was not the best use of SAC funds and instead shifted our focus to enhancing a smaller outdoor space for students. Additionally, the SAC invested in new resources to support social-emotional learning; while these tools were initially intended for a small group of students, we recognized that this valuable learning could ultimately be extended to benefit the entire school.</w:t>
            </w:r>
          </w:p>
          <w:p w14:paraId="6362DAB9" w14:textId="77777777" w:rsidR="001A082B" w:rsidRPr="00967D15" w:rsidRDefault="001A082B" w:rsidP="00967D15">
            <w:pPr>
              <w:jc w:val="both"/>
              <w:rPr>
                <w:sz w:val="24"/>
                <w:szCs w:val="24"/>
                <w:lang w:val="en-US"/>
              </w:rPr>
            </w:pPr>
          </w:p>
          <w:p w14:paraId="2BC7E585" w14:textId="77777777" w:rsidR="001A082B" w:rsidRDefault="00967D15" w:rsidP="00967D15">
            <w:pPr>
              <w:jc w:val="both"/>
              <w:rPr>
                <w:sz w:val="24"/>
                <w:szCs w:val="24"/>
                <w:lang w:val="en-US"/>
              </w:rPr>
            </w:pPr>
            <w:r w:rsidRPr="00967D15">
              <w:rPr>
                <w:sz w:val="24"/>
                <w:szCs w:val="24"/>
                <w:lang w:val="en-US"/>
              </w:rPr>
              <w:t xml:space="preserve">To support academic performance, the SAC aligned its efforts with the School Success Plan (SSP). Since the SSP continues to focus on improving student achievement in writing, we felt it was vital to support our teaching staff by funding updated writing resources. </w:t>
            </w:r>
          </w:p>
          <w:p w14:paraId="1FD805ED" w14:textId="77777777" w:rsidR="001A082B" w:rsidRDefault="001A082B" w:rsidP="00967D15">
            <w:pPr>
              <w:jc w:val="both"/>
              <w:rPr>
                <w:sz w:val="24"/>
                <w:szCs w:val="24"/>
                <w:lang w:val="en-US"/>
              </w:rPr>
            </w:pPr>
          </w:p>
          <w:p w14:paraId="7F3A4368" w14:textId="3D680EF1" w:rsidR="009477EC" w:rsidRPr="001A082B" w:rsidRDefault="00967D15" w:rsidP="003828E0">
            <w:pPr>
              <w:jc w:val="both"/>
              <w:rPr>
                <w:sz w:val="24"/>
                <w:szCs w:val="24"/>
                <w:lang w:val="en-US"/>
              </w:rPr>
            </w:pPr>
            <w:r w:rsidRPr="00967D15">
              <w:rPr>
                <w:sz w:val="24"/>
                <w:szCs w:val="24"/>
                <w:lang w:val="en-US"/>
              </w:rPr>
              <w:t xml:space="preserve">Furthermore, the SAC recognizes the financial strain that school supplies can place on families. Building on a successful initiative started last year, we purchased a large portion of classroom supplies to reduce out-of-pocket costs for parents, a move that was continued this year following very positive feedback from our community. Finally, to ensure our council remains connected to broader educational goals, both the SAC Chair and the Principal attended the </w:t>
            </w:r>
            <w:r w:rsidRPr="00967D15">
              <w:rPr>
                <w:sz w:val="24"/>
                <w:szCs w:val="24"/>
                <w:lang w:val="en-US"/>
              </w:rPr>
              <w:lastRenderedPageBreak/>
              <w:t>Provincial SAC Conference in the Fall and shared key insights with the rest of the council, with the Chair also completing the official conference feedback survey to help shape future sessions.</w:t>
            </w: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4B5B5E56" w14:textId="58301CB1" w:rsidR="009477EC" w:rsidRDefault="001A082B" w:rsidP="003828E0">
            <w:pPr>
              <w:jc w:val="both"/>
              <w:rPr>
                <w:sz w:val="24"/>
                <w:szCs w:val="24"/>
              </w:rPr>
            </w:pPr>
            <w:r w:rsidRPr="001A082B">
              <w:rPr>
                <w:sz w:val="24"/>
                <w:szCs w:val="24"/>
              </w:rPr>
              <w:t>A major success story this year was the completion of the work on our outdoor courtyard, which has created a warm, inviting space where both students and staff want to go to work. While the SAC’s primary focus is always on student achievement, we also recognize that staff well-being is an essential part of a successful school environment. This newly enhanced courtyard directly supports our ongoing wellness initiatives, including our monthly "Wellness Wednesdays" where students and staff focus on guided meditation, growth mindset, and ways to reset. Having this physical space available provides a perfect, quiet environment where students can actively step outside and practice these vital self-regulation and wellness skills alongside staff.</w:t>
            </w: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7527DD50" w14:textId="77777777" w:rsidR="009477EC" w:rsidRDefault="009477EC"/>
          <w:p w14:paraId="15622E24" w14:textId="77777777" w:rsidR="003828E0" w:rsidRDefault="003828E0"/>
        </w:tc>
      </w:tr>
    </w:tbl>
    <w:p w14:paraId="3A0B9B58" w14:textId="77777777" w:rsidR="009477EC" w:rsidRDefault="009477EC"/>
    <w:p w14:paraId="1752739A" w14:textId="77777777" w:rsidR="003828E0" w:rsidRPr="009477EC"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43D43E80" w14:textId="5AEE3987" w:rsidR="0078393B" w:rsidRDefault="0078393B" w:rsidP="009477EC">
            <w:pPr>
              <w:jc w:val="both"/>
              <w:rPr>
                <w:sz w:val="24"/>
                <w:szCs w:val="24"/>
              </w:rPr>
            </w:pPr>
            <w:r>
              <w:rPr>
                <w:sz w:val="24"/>
                <w:szCs w:val="24"/>
              </w:rPr>
              <w:t>School Supplies $342.45</w:t>
            </w:r>
          </w:p>
          <w:p w14:paraId="2E896F66" w14:textId="41F4710F" w:rsidR="0078393B" w:rsidRDefault="0078393B" w:rsidP="009477EC">
            <w:pPr>
              <w:jc w:val="both"/>
              <w:rPr>
                <w:sz w:val="24"/>
                <w:szCs w:val="24"/>
              </w:rPr>
            </w:pPr>
            <w:r>
              <w:rPr>
                <w:sz w:val="24"/>
                <w:szCs w:val="24"/>
              </w:rPr>
              <w:t>School Supplies $153.14</w:t>
            </w:r>
          </w:p>
          <w:p w14:paraId="3E8F4071" w14:textId="1BC9BBE6" w:rsidR="0078393B" w:rsidRDefault="0078393B" w:rsidP="009477EC">
            <w:pPr>
              <w:jc w:val="both"/>
              <w:rPr>
                <w:sz w:val="24"/>
                <w:szCs w:val="24"/>
              </w:rPr>
            </w:pPr>
            <w:r>
              <w:rPr>
                <w:sz w:val="24"/>
                <w:szCs w:val="24"/>
              </w:rPr>
              <w:t>Decodable Books $58.79</w:t>
            </w:r>
          </w:p>
          <w:p w14:paraId="4141D3DD" w14:textId="104018F8" w:rsidR="0078393B" w:rsidRDefault="0078393B" w:rsidP="009477EC">
            <w:pPr>
              <w:jc w:val="both"/>
              <w:rPr>
                <w:sz w:val="24"/>
                <w:szCs w:val="24"/>
              </w:rPr>
            </w:pPr>
            <w:r>
              <w:rPr>
                <w:sz w:val="24"/>
                <w:szCs w:val="24"/>
              </w:rPr>
              <w:t>Playground Enhancement $1000.00</w:t>
            </w:r>
          </w:p>
          <w:p w14:paraId="60D65FAA" w14:textId="1E83EDB3" w:rsidR="0078393B" w:rsidRDefault="0078393B" w:rsidP="009477EC">
            <w:pPr>
              <w:jc w:val="both"/>
              <w:rPr>
                <w:sz w:val="24"/>
                <w:szCs w:val="24"/>
              </w:rPr>
            </w:pPr>
            <w:r>
              <w:rPr>
                <w:sz w:val="24"/>
                <w:szCs w:val="24"/>
              </w:rPr>
              <w:t>Story Champs (Writing resource), Social Skills Bingo, Courtyard Upgrade $2231.05</w:t>
            </w:r>
          </w:p>
          <w:p w14:paraId="0671F814" w14:textId="55C913E1" w:rsidR="0078393B" w:rsidRDefault="0078393B" w:rsidP="009477EC">
            <w:pPr>
              <w:jc w:val="both"/>
              <w:rPr>
                <w:sz w:val="24"/>
                <w:szCs w:val="24"/>
              </w:rPr>
            </w:pPr>
            <w:r>
              <w:rPr>
                <w:sz w:val="24"/>
                <w:szCs w:val="24"/>
              </w:rPr>
              <w:t>School Supplies (white boards) $64.97</w:t>
            </w:r>
          </w:p>
          <w:p w14:paraId="60356F08" w14:textId="36A30670" w:rsidR="0078393B" w:rsidRDefault="0078393B" w:rsidP="009477EC">
            <w:pPr>
              <w:jc w:val="both"/>
              <w:rPr>
                <w:sz w:val="24"/>
                <w:szCs w:val="24"/>
              </w:rPr>
            </w:pPr>
            <w:r>
              <w:rPr>
                <w:sz w:val="24"/>
                <w:szCs w:val="24"/>
              </w:rPr>
              <w:t>Outdoor Courtyard Supplies $224.93</w:t>
            </w:r>
          </w:p>
          <w:p w14:paraId="17027559" w14:textId="6B2BF267" w:rsidR="0078393B" w:rsidRDefault="0078393B" w:rsidP="009477EC">
            <w:pPr>
              <w:jc w:val="both"/>
              <w:rPr>
                <w:sz w:val="24"/>
                <w:szCs w:val="24"/>
              </w:rPr>
            </w:pPr>
            <w:r>
              <w:rPr>
                <w:sz w:val="24"/>
                <w:szCs w:val="24"/>
              </w:rPr>
              <w:t>School Supplies $1435.03</w:t>
            </w:r>
          </w:p>
          <w:p w14:paraId="307E782E" w14:textId="726B3174" w:rsidR="0078393B" w:rsidRDefault="0078393B" w:rsidP="009477EC">
            <w:pPr>
              <w:jc w:val="both"/>
              <w:rPr>
                <w:sz w:val="24"/>
                <w:szCs w:val="24"/>
              </w:rPr>
            </w:pPr>
            <w:r>
              <w:rPr>
                <w:sz w:val="24"/>
                <w:szCs w:val="24"/>
              </w:rPr>
              <w:t>Literacy Resources $1070.95</w:t>
            </w:r>
          </w:p>
          <w:p w14:paraId="4D1074B4" w14:textId="77777777" w:rsidR="0078393B" w:rsidRDefault="0078393B" w:rsidP="009477EC">
            <w:pPr>
              <w:jc w:val="both"/>
              <w:rPr>
                <w:sz w:val="24"/>
                <w:szCs w:val="24"/>
              </w:rPr>
            </w:pPr>
          </w:p>
          <w:p w14:paraId="185CA25B" w14:textId="566E7937" w:rsidR="0078393B" w:rsidRDefault="0078393B" w:rsidP="009477EC">
            <w:pPr>
              <w:jc w:val="both"/>
              <w:rPr>
                <w:sz w:val="24"/>
                <w:szCs w:val="24"/>
              </w:rPr>
            </w:pPr>
            <w:r>
              <w:rPr>
                <w:sz w:val="24"/>
                <w:szCs w:val="24"/>
              </w:rPr>
              <w:t>Remaining balance $882.78</w:t>
            </w: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77777777" w:rsidR="003828E0" w:rsidRDefault="003828E0" w:rsidP="009477EC">
            <w:pPr>
              <w:jc w:val="both"/>
              <w:rPr>
                <w:sz w:val="24"/>
                <w:szCs w:val="24"/>
              </w:rPr>
            </w:pP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6963B762" w:rsidR="003828E0" w:rsidRDefault="0078393B" w:rsidP="0078393B">
            <w:pPr>
              <w:jc w:val="both"/>
              <w:rPr>
                <w:sz w:val="24"/>
                <w:szCs w:val="24"/>
              </w:rPr>
            </w:pPr>
            <w:r>
              <w:rPr>
                <w:sz w:val="24"/>
                <w:szCs w:val="24"/>
              </w:rPr>
              <w:t xml:space="preserve">SAC </w:t>
            </w:r>
            <w:proofErr w:type="gramStart"/>
            <w:r>
              <w:rPr>
                <w:sz w:val="24"/>
                <w:szCs w:val="24"/>
              </w:rPr>
              <w:t>Meal  $</w:t>
            </w:r>
            <w:proofErr w:type="gramEnd"/>
            <w:r>
              <w:rPr>
                <w:sz w:val="24"/>
                <w:szCs w:val="24"/>
              </w:rPr>
              <w:t>260.57</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8956" w14:textId="77777777" w:rsidR="00045F8D" w:rsidRDefault="00045F8D" w:rsidP="009477EC">
      <w:pPr>
        <w:spacing w:after="0" w:line="240" w:lineRule="auto"/>
      </w:pPr>
      <w:r>
        <w:separator/>
      </w:r>
    </w:p>
  </w:endnote>
  <w:endnote w:type="continuationSeparator" w:id="0">
    <w:p w14:paraId="1937FF79" w14:textId="77777777" w:rsidR="00045F8D" w:rsidRDefault="00045F8D"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7C38" w14:textId="77777777" w:rsidR="00045F8D" w:rsidRDefault="00045F8D" w:rsidP="009477EC">
      <w:pPr>
        <w:spacing w:after="0" w:line="240" w:lineRule="auto"/>
      </w:pPr>
      <w:r>
        <w:separator/>
      </w:r>
    </w:p>
  </w:footnote>
  <w:footnote w:type="continuationSeparator" w:id="0">
    <w:p w14:paraId="7B339A9B" w14:textId="77777777" w:rsidR="00045F8D" w:rsidRDefault="00045F8D" w:rsidP="00947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045F8D"/>
    <w:rsid w:val="00060972"/>
    <w:rsid w:val="00134611"/>
    <w:rsid w:val="0013573C"/>
    <w:rsid w:val="00187CD7"/>
    <w:rsid w:val="001A082B"/>
    <w:rsid w:val="001E698E"/>
    <w:rsid w:val="0024043B"/>
    <w:rsid w:val="00256304"/>
    <w:rsid w:val="00287EE2"/>
    <w:rsid w:val="0030505B"/>
    <w:rsid w:val="00307761"/>
    <w:rsid w:val="003828E0"/>
    <w:rsid w:val="004F23E3"/>
    <w:rsid w:val="005750AE"/>
    <w:rsid w:val="0062379C"/>
    <w:rsid w:val="00701F95"/>
    <w:rsid w:val="0078393B"/>
    <w:rsid w:val="008151D9"/>
    <w:rsid w:val="00933F6B"/>
    <w:rsid w:val="009477EC"/>
    <w:rsid w:val="00955B85"/>
    <w:rsid w:val="00967D15"/>
    <w:rsid w:val="0097048C"/>
    <w:rsid w:val="009B7F25"/>
    <w:rsid w:val="00A47558"/>
    <w:rsid w:val="00A60B67"/>
    <w:rsid w:val="00B816C6"/>
    <w:rsid w:val="00BF76FC"/>
    <w:rsid w:val="00C02441"/>
    <w:rsid w:val="00CC0FA3"/>
    <w:rsid w:val="00D91716"/>
    <w:rsid w:val="00DC32E6"/>
    <w:rsid w:val="00DF203B"/>
    <w:rsid w:val="00E22A3B"/>
    <w:rsid w:val="00E67127"/>
    <w:rsid w:val="00EA10CB"/>
    <w:rsid w:val="00EE7477"/>
    <w:rsid w:val="00F05BD1"/>
    <w:rsid w:val="00F93AF6"/>
    <w:rsid w:val="00FD52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rce.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Ritchie, Chelsey</cp:lastModifiedBy>
  <cp:revision>2</cp:revision>
  <cp:lastPrinted>2019-05-31T17:21:00Z</cp:lastPrinted>
  <dcterms:created xsi:type="dcterms:W3CDTF">2026-06-15T10:44:00Z</dcterms:created>
  <dcterms:modified xsi:type="dcterms:W3CDTF">2026-06-15T10:44:00Z</dcterms:modified>
</cp:coreProperties>
</file>